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450" w:type="dxa"/>
        <w:tblBorders>
          <w:top w:val="single" w:sz="48" w:space="0" w:color="1F3864" w:themeColor="accent5" w:themeShade="80"/>
          <w:left w:val="single" w:sz="48" w:space="0" w:color="1F3864" w:themeColor="accent5" w:themeShade="80"/>
          <w:bottom w:val="single" w:sz="48" w:space="0" w:color="1F3864" w:themeColor="accent5" w:themeShade="80"/>
          <w:right w:val="single" w:sz="48" w:space="0" w:color="1F3864" w:themeColor="accent5" w:themeShade="80"/>
          <w:insideH w:val="single" w:sz="48" w:space="0" w:color="1F3864" w:themeColor="accent5" w:themeShade="80"/>
          <w:insideV w:val="single" w:sz="4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60"/>
        <w:gridCol w:w="3000"/>
        <w:gridCol w:w="3000"/>
        <w:gridCol w:w="3000"/>
      </w:tblGrid>
      <w:tr w:rsidR="00327413" w:rsidRPr="00F50714" w14:paraId="5533A8A9" w14:textId="77777777" w:rsidTr="001056B0">
        <w:tc>
          <w:tcPr>
            <w:tcW w:w="11160" w:type="dxa"/>
            <w:gridSpan w:val="4"/>
            <w:tcBorders>
              <w:top w:val="nil"/>
              <w:left w:val="nil"/>
              <w:bottom w:val="single" w:sz="48" w:space="0" w:color="1F3864" w:themeColor="accent5" w:themeShade="80"/>
              <w:right w:val="nil"/>
            </w:tcBorders>
          </w:tcPr>
          <w:p w14:paraId="7CDD90C5" w14:textId="77777777" w:rsidR="00327413" w:rsidRPr="001056B0" w:rsidRDefault="00327413" w:rsidP="00F50714">
            <w:pPr>
              <w:jc w:val="center"/>
              <w:rPr>
                <w:b/>
                <w:sz w:val="32"/>
                <w:szCs w:val="32"/>
              </w:rPr>
            </w:pPr>
            <w:r w:rsidRPr="001056B0">
              <w:rPr>
                <w:b/>
                <w:sz w:val="32"/>
                <w:szCs w:val="32"/>
              </w:rPr>
              <w:t xml:space="preserve">Dual Credit (DC) – Advanced Placement (AP) – </w:t>
            </w:r>
            <w:r w:rsidR="00BB2F90" w:rsidRPr="001056B0">
              <w:rPr>
                <w:b/>
                <w:sz w:val="32"/>
                <w:szCs w:val="32"/>
              </w:rPr>
              <w:t>On</w:t>
            </w:r>
            <w:r w:rsidRPr="001056B0">
              <w:rPr>
                <w:b/>
                <w:sz w:val="32"/>
                <w:szCs w:val="32"/>
              </w:rPr>
              <w:t>Ramps: What is the Difference?</w:t>
            </w:r>
          </w:p>
          <w:p w14:paraId="5B07CC40" w14:textId="77777777" w:rsidR="00327413" w:rsidRPr="00F50714" w:rsidRDefault="00327413" w:rsidP="00F507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5C65" w14:paraId="6954A4DE" w14:textId="77777777" w:rsidTr="00E564FA">
        <w:tc>
          <w:tcPr>
            <w:tcW w:w="2160" w:type="dxa"/>
            <w:tcBorders>
              <w:top w:val="single" w:sz="48" w:space="0" w:color="1F3864" w:themeColor="accent5" w:themeShade="80"/>
            </w:tcBorders>
            <w:shd w:val="clear" w:color="auto" w:fill="D6722E"/>
          </w:tcPr>
          <w:p w14:paraId="39DA4D70" w14:textId="77777777" w:rsidR="00327413" w:rsidRPr="00F50714" w:rsidRDefault="00327413" w:rsidP="00DC51C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0714">
              <w:rPr>
                <w:b/>
                <w:color w:val="FFFFFF" w:themeColor="background1"/>
                <w:sz w:val="28"/>
                <w:szCs w:val="28"/>
              </w:rPr>
              <w:t>College/</w:t>
            </w:r>
            <w:r w:rsidR="00DC51C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F50714">
              <w:rPr>
                <w:b/>
                <w:color w:val="FFFFFF" w:themeColor="background1"/>
                <w:sz w:val="28"/>
                <w:szCs w:val="28"/>
              </w:rPr>
              <w:t>University</w:t>
            </w:r>
          </w:p>
        </w:tc>
        <w:tc>
          <w:tcPr>
            <w:tcW w:w="3000" w:type="dxa"/>
            <w:tcBorders>
              <w:top w:val="single" w:sz="48" w:space="0" w:color="1F3864" w:themeColor="accent5" w:themeShade="80"/>
            </w:tcBorders>
            <w:shd w:val="clear" w:color="auto" w:fill="D6722E"/>
          </w:tcPr>
          <w:p w14:paraId="06D986B3" w14:textId="77777777" w:rsidR="00327413" w:rsidRPr="00F50714" w:rsidRDefault="00327413" w:rsidP="0032741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0714">
              <w:rPr>
                <w:b/>
                <w:color w:val="FFFFFF" w:themeColor="background1"/>
                <w:sz w:val="28"/>
                <w:szCs w:val="28"/>
              </w:rPr>
              <w:t>Dual Credit</w:t>
            </w:r>
          </w:p>
        </w:tc>
        <w:tc>
          <w:tcPr>
            <w:tcW w:w="3000" w:type="dxa"/>
            <w:tcBorders>
              <w:top w:val="single" w:sz="48" w:space="0" w:color="1F3864" w:themeColor="accent5" w:themeShade="80"/>
            </w:tcBorders>
            <w:shd w:val="clear" w:color="auto" w:fill="D6722E"/>
          </w:tcPr>
          <w:p w14:paraId="62113FAA" w14:textId="77777777" w:rsidR="00327413" w:rsidRPr="00F50714" w:rsidRDefault="00327413" w:rsidP="0032741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0714">
              <w:rPr>
                <w:b/>
                <w:color w:val="FFFFFF" w:themeColor="background1"/>
                <w:sz w:val="28"/>
                <w:szCs w:val="28"/>
              </w:rPr>
              <w:t>AP – Advanced Placement</w:t>
            </w:r>
          </w:p>
        </w:tc>
        <w:tc>
          <w:tcPr>
            <w:tcW w:w="3000" w:type="dxa"/>
            <w:tcBorders>
              <w:top w:val="single" w:sz="48" w:space="0" w:color="1F3864" w:themeColor="accent5" w:themeShade="80"/>
            </w:tcBorders>
            <w:shd w:val="clear" w:color="auto" w:fill="D6722E"/>
          </w:tcPr>
          <w:p w14:paraId="4AC45744" w14:textId="77777777" w:rsidR="00327413" w:rsidRPr="00F50714" w:rsidRDefault="00BB2F90" w:rsidP="0032741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50714">
              <w:rPr>
                <w:b/>
                <w:color w:val="FFFFFF" w:themeColor="background1"/>
                <w:sz w:val="28"/>
                <w:szCs w:val="28"/>
              </w:rPr>
              <w:t>On</w:t>
            </w:r>
            <w:r w:rsidR="00327413" w:rsidRPr="00F50714">
              <w:rPr>
                <w:b/>
                <w:color w:val="FFFFFF" w:themeColor="background1"/>
                <w:sz w:val="28"/>
                <w:szCs w:val="28"/>
              </w:rPr>
              <w:t>Ramps</w:t>
            </w:r>
          </w:p>
        </w:tc>
      </w:tr>
      <w:tr w:rsidR="00215C65" w14:paraId="4E2CF088" w14:textId="77777777" w:rsidTr="00BB5851">
        <w:tc>
          <w:tcPr>
            <w:tcW w:w="2160" w:type="dxa"/>
            <w:shd w:val="clear" w:color="auto" w:fill="BFBFBF" w:themeFill="background1" w:themeFillShade="BF"/>
          </w:tcPr>
          <w:p w14:paraId="6F45B854" w14:textId="77777777" w:rsidR="00327413" w:rsidRPr="00460667" w:rsidRDefault="00327413">
            <w:pPr>
              <w:rPr>
                <w:b/>
                <w:sz w:val="28"/>
                <w:szCs w:val="28"/>
              </w:rPr>
            </w:pPr>
            <w:r w:rsidRPr="00460667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60BD6CFE" w14:textId="77777777" w:rsidR="00327413" w:rsidRDefault="002468DB">
            <w:r w:rsidRPr="002468DB">
              <w:t>Dual Credit is a process by which a high school student enrolls in a high school course and receives simultaneous academic credit for the course from both the high school and college. Lamar CISD has a partnership with Lone Star College</w:t>
            </w:r>
            <w:r w:rsidR="00BB2F90">
              <w:t xml:space="preserve"> (LSC)</w:t>
            </w:r>
            <w:r w:rsidR="001056B0">
              <w:t>.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5E0B3D7D" w14:textId="77777777" w:rsidR="00327413" w:rsidRDefault="002468DB">
            <w:r>
              <w:t xml:space="preserve">The Advanced Placement (AP) classes cover the </w:t>
            </w:r>
            <w:r w:rsidR="006D19A3">
              <w:t>breadth of information, skills, and assignments found in corresponding college courses and meet peer-review standards set by top educators in conj</w:t>
            </w:r>
            <w:r w:rsidR="001056B0">
              <w:t xml:space="preserve">unction with College Board (CB). </w:t>
            </w:r>
            <w:r w:rsidR="006D19A3">
              <w:t>AP classes prepare students to take College Board AP tests that may make them eli</w:t>
            </w:r>
            <w:r w:rsidR="001056B0">
              <w:t>gible to receive college credit.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7042CFDB" w14:textId="77777777" w:rsidR="00327413" w:rsidRDefault="006D19A3" w:rsidP="00BB2F90">
            <w:r>
              <w:t>OnRamps is a dual enrollment led by th</w:t>
            </w:r>
            <w:r w:rsidR="001056B0">
              <w:t>e University of Texas at Austin.</w:t>
            </w:r>
            <w:r>
              <w:t xml:space="preserve"> </w:t>
            </w:r>
            <w:r w:rsidR="00BB2F90">
              <w:t>The program is dedicated to preparing high school students for postsecondary student success. Students may potentially earn college credit while in high school.</w:t>
            </w:r>
          </w:p>
        </w:tc>
      </w:tr>
      <w:tr w:rsidR="00215C65" w14:paraId="2DEB3A9D" w14:textId="77777777" w:rsidTr="00BB5851">
        <w:tc>
          <w:tcPr>
            <w:tcW w:w="2160" w:type="dxa"/>
          </w:tcPr>
          <w:p w14:paraId="2D146182" w14:textId="77777777" w:rsidR="00327413" w:rsidRPr="00460667" w:rsidRDefault="00327413">
            <w:pPr>
              <w:rPr>
                <w:b/>
                <w:sz w:val="28"/>
                <w:szCs w:val="28"/>
              </w:rPr>
            </w:pPr>
            <w:r w:rsidRPr="00460667">
              <w:rPr>
                <w:b/>
                <w:sz w:val="28"/>
                <w:szCs w:val="28"/>
              </w:rPr>
              <w:t>Enrollment Requirements</w:t>
            </w:r>
          </w:p>
        </w:tc>
        <w:tc>
          <w:tcPr>
            <w:tcW w:w="3000" w:type="dxa"/>
          </w:tcPr>
          <w:p w14:paraId="01ED7260" w14:textId="77777777" w:rsidR="00327413" w:rsidRDefault="00BB2F90" w:rsidP="00BB2F90">
            <w:pPr>
              <w:pStyle w:val="ListParagraph"/>
              <w:numPr>
                <w:ilvl w:val="0"/>
                <w:numId w:val="1"/>
              </w:numPr>
            </w:pPr>
            <w:r>
              <w:t>Must meet college requirements for admission</w:t>
            </w:r>
          </w:p>
          <w:p w14:paraId="0D497E8E" w14:textId="77777777" w:rsidR="00BB2F90" w:rsidRDefault="00BB2F90" w:rsidP="00BB2F90">
            <w:pPr>
              <w:pStyle w:val="ListParagraph"/>
              <w:numPr>
                <w:ilvl w:val="0"/>
                <w:numId w:val="1"/>
              </w:numPr>
            </w:pPr>
            <w:r>
              <w:t>Pre-requisite courses required</w:t>
            </w:r>
          </w:p>
          <w:p w14:paraId="5788D179" w14:textId="77777777" w:rsidR="00BB2F90" w:rsidRDefault="00BB2F90" w:rsidP="00BB2F90">
            <w:pPr>
              <w:pStyle w:val="ListParagraph"/>
              <w:numPr>
                <w:ilvl w:val="0"/>
                <w:numId w:val="1"/>
              </w:numPr>
            </w:pPr>
            <w:r>
              <w:t>Complete LSC registration</w:t>
            </w:r>
          </w:p>
        </w:tc>
        <w:tc>
          <w:tcPr>
            <w:tcW w:w="3000" w:type="dxa"/>
          </w:tcPr>
          <w:p w14:paraId="36D8EF28" w14:textId="77777777" w:rsidR="00BB2F90" w:rsidRDefault="00BB2F90" w:rsidP="00BB2F90">
            <w:pPr>
              <w:pStyle w:val="ListParagraph"/>
              <w:numPr>
                <w:ilvl w:val="0"/>
                <w:numId w:val="3"/>
              </w:numPr>
            </w:pPr>
            <w:r>
              <w:t>Open enrollment for all students</w:t>
            </w:r>
          </w:p>
          <w:p w14:paraId="3B5BA4C7" w14:textId="77777777" w:rsidR="00BB2F90" w:rsidRDefault="00BB2F90" w:rsidP="00BB2F90">
            <w:pPr>
              <w:pStyle w:val="ListParagraph"/>
              <w:numPr>
                <w:ilvl w:val="0"/>
                <w:numId w:val="3"/>
              </w:numPr>
            </w:pPr>
            <w:r>
              <w:t>Pre-requisite course(s) required in some cases</w:t>
            </w:r>
          </w:p>
        </w:tc>
        <w:tc>
          <w:tcPr>
            <w:tcW w:w="3000" w:type="dxa"/>
          </w:tcPr>
          <w:p w14:paraId="45CD3890" w14:textId="77777777" w:rsidR="00327413" w:rsidRDefault="00DD1BCD" w:rsidP="00DD1BCD">
            <w:pPr>
              <w:pStyle w:val="ListParagraph"/>
              <w:numPr>
                <w:ilvl w:val="0"/>
                <w:numId w:val="4"/>
              </w:numPr>
            </w:pPr>
            <w:r>
              <w:t>Open to students who wish to experience a college level course</w:t>
            </w:r>
          </w:p>
          <w:p w14:paraId="6CFFD715" w14:textId="77777777" w:rsidR="00DD1BCD" w:rsidRDefault="00DD1BCD" w:rsidP="00DD1BCD">
            <w:pPr>
              <w:pStyle w:val="ListParagraph"/>
              <w:numPr>
                <w:ilvl w:val="0"/>
                <w:numId w:val="4"/>
              </w:numPr>
            </w:pPr>
            <w:r>
              <w:t>Students must earn a grade that would be equivalent to UT Austin credit or better during Fall semester to be eligible to be dually enrolled in the university course offered during S</w:t>
            </w:r>
            <w:r w:rsidR="001056B0">
              <w:t>pring semester</w:t>
            </w:r>
          </w:p>
        </w:tc>
      </w:tr>
      <w:tr w:rsidR="00215C65" w14:paraId="1706D963" w14:textId="77777777" w:rsidTr="00BB5851">
        <w:tc>
          <w:tcPr>
            <w:tcW w:w="2160" w:type="dxa"/>
            <w:shd w:val="clear" w:color="auto" w:fill="BFBFBF" w:themeFill="background1" w:themeFillShade="BF"/>
          </w:tcPr>
          <w:p w14:paraId="343467C9" w14:textId="77777777" w:rsidR="00244E62" w:rsidRPr="00460667" w:rsidRDefault="00327413">
            <w:pPr>
              <w:rPr>
                <w:b/>
                <w:sz w:val="28"/>
                <w:szCs w:val="28"/>
              </w:rPr>
            </w:pPr>
            <w:r w:rsidRPr="00460667">
              <w:rPr>
                <w:b/>
                <w:sz w:val="28"/>
                <w:szCs w:val="28"/>
              </w:rPr>
              <w:t>How Grade/</w:t>
            </w:r>
            <w:r w:rsidR="00244E62" w:rsidRPr="00460667">
              <w:rPr>
                <w:b/>
                <w:sz w:val="28"/>
                <w:szCs w:val="28"/>
              </w:rPr>
              <w:t xml:space="preserve"> </w:t>
            </w:r>
          </w:p>
          <w:p w14:paraId="597E6030" w14:textId="77777777" w:rsidR="00327413" w:rsidRPr="00460667" w:rsidRDefault="00327413">
            <w:pPr>
              <w:rPr>
                <w:b/>
                <w:sz w:val="28"/>
                <w:szCs w:val="28"/>
              </w:rPr>
            </w:pPr>
            <w:r w:rsidRPr="00460667">
              <w:rPr>
                <w:b/>
                <w:sz w:val="28"/>
                <w:szCs w:val="28"/>
              </w:rPr>
              <w:t>Score is Assigned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603CE6EE" w14:textId="77777777" w:rsidR="00327413" w:rsidRDefault="004D17ED" w:rsidP="004D17ED">
            <w:pPr>
              <w:pStyle w:val="ListParagraph"/>
              <w:numPr>
                <w:ilvl w:val="0"/>
                <w:numId w:val="5"/>
              </w:numPr>
            </w:pPr>
            <w:r>
              <w:t>LSC Professor awards studen</w:t>
            </w:r>
            <w:r w:rsidR="001056B0">
              <w:t>ts grade for the college course</w:t>
            </w:r>
          </w:p>
          <w:p w14:paraId="1B741BF8" w14:textId="77777777" w:rsidR="004D17ED" w:rsidRDefault="004D17ED" w:rsidP="004D17ED">
            <w:pPr>
              <w:pStyle w:val="ListParagraph"/>
              <w:numPr>
                <w:ilvl w:val="0"/>
                <w:numId w:val="5"/>
              </w:numPr>
            </w:pPr>
            <w:r>
              <w:t xml:space="preserve">Lamar CISD teacher awards students grade for the </w:t>
            </w:r>
            <w:r w:rsidR="001056B0">
              <w:t>high school course</w:t>
            </w:r>
          </w:p>
          <w:p w14:paraId="5061B4F6" w14:textId="77777777" w:rsidR="004D17ED" w:rsidRDefault="004D17ED" w:rsidP="004D17ED">
            <w:pPr>
              <w:pStyle w:val="ListParagraph"/>
              <w:numPr>
                <w:ilvl w:val="0"/>
                <w:numId w:val="5"/>
              </w:numPr>
            </w:pPr>
            <w:r>
              <w:t xml:space="preserve">See </w:t>
            </w:r>
            <w:r w:rsidR="00642E0C">
              <w:t xml:space="preserve">Lamar CISD </w:t>
            </w:r>
            <w:r>
              <w:t>cou</w:t>
            </w:r>
            <w:r w:rsidR="00642E0C">
              <w:t>rse catalog for weighted high school credit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4F68203A" w14:textId="77777777" w:rsidR="00327413" w:rsidRDefault="004D17ED" w:rsidP="00642E0C">
            <w:pPr>
              <w:pStyle w:val="ListParagraph"/>
              <w:numPr>
                <w:ilvl w:val="0"/>
                <w:numId w:val="6"/>
              </w:numPr>
            </w:pPr>
            <w:r>
              <w:t>College credit by a single, national exam</w:t>
            </w:r>
            <w:r w:rsidR="001056B0">
              <w:t xml:space="preserve"> taken in May; </w:t>
            </w:r>
            <w:r>
              <w:t>students may register for</w:t>
            </w:r>
            <w:r w:rsidR="001056B0">
              <w:t xml:space="preserve"> exam</w:t>
            </w:r>
          </w:p>
          <w:p w14:paraId="68A92942" w14:textId="77777777" w:rsidR="004D17ED" w:rsidRDefault="004D17ED" w:rsidP="00642E0C">
            <w:pPr>
              <w:pStyle w:val="ListParagraph"/>
              <w:numPr>
                <w:ilvl w:val="0"/>
                <w:numId w:val="6"/>
              </w:numPr>
            </w:pPr>
            <w:r>
              <w:t>Exams are scored by CB from 1 to 5</w:t>
            </w:r>
          </w:p>
          <w:p w14:paraId="3CA0C129" w14:textId="77777777" w:rsidR="001056B0" w:rsidRDefault="001056B0" w:rsidP="001056B0">
            <w:pPr>
              <w:pStyle w:val="ListParagraph"/>
              <w:numPr>
                <w:ilvl w:val="0"/>
                <w:numId w:val="6"/>
              </w:numPr>
            </w:pPr>
            <w:r w:rsidRPr="001056B0">
              <w:t>Class grade has no bearing on exam score</w:t>
            </w:r>
          </w:p>
          <w:p w14:paraId="7E1F2938" w14:textId="77777777" w:rsidR="00642E0C" w:rsidRDefault="00642E0C" w:rsidP="00642E0C">
            <w:pPr>
              <w:pStyle w:val="ListParagraph"/>
              <w:numPr>
                <w:ilvl w:val="0"/>
                <w:numId w:val="6"/>
              </w:numPr>
            </w:pPr>
            <w:r>
              <w:t>See Lamar CISD course catalog for weighted high school credit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0C7D35B2" w14:textId="77777777" w:rsidR="00642E0C" w:rsidRDefault="00642E0C" w:rsidP="00642E0C">
            <w:pPr>
              <w:pStyle w:val="ListParagraph"/>
              <w:numPr>
                <w:ilvl w:val="0"/>
                <w:numId w:val="7"/>
              </w:numPr>
            </w:pPr>
            <w:r>
              <w:t>UT Professor awards studen</w:t>
            </w:r>
            <w:r w:rsidR="001056B0">
              <w:t>ts grade for the college course</w:t>
            </w:r>
          </w:p>
          <w:p w14:paraId="3A8193F4" w14:textId="77777777" w:rsidR="00642E0C" w:rsidRDefault="00642E0C" w:rsidP="00642E0C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Lamar CISD teacher awards students grade for the </w:t>
            </w:r>
            <w:r w:rsidR="001056B0">
              <w:t>high school course</w:t>
            </w:r>
          </w:p>
          <w:p w14:paraId="1815CA84" w14:textId="77777777" w:rsidR="00327413" w:rsidRDefault="00642E0C" w:rsidP="00642E0C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>See Lamar CISD course catalog for weighted high school credit</w:t>
            </w:r>
          </w:p>
        </w:tc>
      </w:tr>
      <w:tr w:rsidR="00215C65" w14:paraId="7ACF44E9" w14:textId="77777777" w:rsidTr="00BB5851">
        <w:tc>
          <w:tcPr>
            <w:tcW w:w="2160" w:type="dxa"/>
          </w:tcPr>
          <w:p w14:paraId="7CCE5D9D" w14:textId="77777777" w:rsidR="00327413" w:rsidRPr="00460667" w:rsidRDefault="00327413">
            <w:pPr>
              <w:rPr>
                <w:b/>
                <w:sz w:val="28"/>
                <w:szCs w:val="28"/>
              </w:rPr>
            </w:pPr>
            <w:r w:rsidRPr="00460667"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3000" w:type="dxa"/>
          </w:tcPr>
          <w:p w14:paraId="13EA4826" w14:textId="77777777" w:rsidR="00327413" w:rsidRDefault="008E338E">
            <w:r>
              <w:t>$73 - $121</w:t>
            </w:r>
            <w:r w:rsidR="00642E0C">
              <w:t xml:space="preserve"> fee for 3+ hour college course </w:t>
            </w:r>
          </w:p>
          <w:p w14:paraId="1DDE93E0" w14:textId="77777777" w:rsidR="00642E0C" w:rsidRDefault="00642E0C">
            <w:r>
              <w:t>Note: LSC sets fee and is subject to change</w:t>
            </w:r>
          </w:p>
          <w:p w14:paraId="7EDBC972" w14:textId="77777777" w:rsidR="001056B0" w:rsidRDefault="001056B0"/>
          <w:p w14:paraId="50CC08C8" w14:textId="77777777" w:rsidR="00BB5851" w:rsidRDefault="00BB5851"/>
        </w:tc>
        <w:tc>
          <w:tcPr>
            <w:tcW w:w="3000" w:type="dxa"/>
          </w:tcPr>
          <w:p w14:paraId="3E79CFED" w14:textId="77777777" w:rsidR="00327413" w:rsidRDefault="008E338E">
            <w:r>
              <w:t>$94</w:t>
            </w:r>
            <w:r w:rsidR="00F50714">
              <w:t xml:space="preserve"> per exam or $</w:t>
            </w:r>
            <w:r w:rsidR="00642E0C">
              <w:t>28 F/R lunch students</w:t>
            </w:r>
            <w:r>
              <w:t xml:space="preserve"> for 2019-2020</w:t>
            </w:r>
            <w:r w:rsidR="00E564FA">
              <w:t xml:space="preserve"> school year</w:t>
            </w:r>
            <w:r w:rsidR="00642E0C">
              <w:t>;</w:t>
            </w:r>
            <w:r w:rsidR="00E564FA">
              <w:t xml:space="preserve"> cost subject to change by CB;</w:t>
            </w:r>
            <w:r w:rsidR="00642E0C">
              <w:t xml:space="preserve"> no cost for AP class  </w:t>
            </w:r>
          </w:p>
          <w:p w14:paraId="622A86D2" w14:textId="77777777" w:rsidR="00F46CA7" w:rsidRDefault="00F46CA7"/>
          <w:p w14:paraId="14830A52" w14:textId="77777777" w:rsidR="00F46CA7" w:rsidRDefault="00F46CA7"/>
        </w:tc>
        <w:tc>
          <w:tcPr>
            <w:tcW w:w="3000" w:type="dxa"/>
          </w:tcPr>
          <w:p w14:paraId="022FB213" w14:textId="77777777" w:rsidR="00327413" w:rsidRDefault="008E338E" w:rsidP="008E338E">
            <w:r>
              <w:t>$ 149 enrollment fee per student or $99 for F/R lunch students</w:t>
            </w:r>
          </w:p>
        </w:tc>
      </w:tr>
      <w:tr w:rsidR="00215C65" w14:paraId="01530719" w14:textId="77777777" w:rsidTr="00BB5851">
        <w:tc>
          <w:tcPr>
            <w:tcW w:w="2160" w:type="dxa"/>
            <w:shd w:val="clear" w:color="auto" w:fill="BFBFBF" w:themeFill="background1" w:themeFillShade="BF"/>
          </w:tcPr>
          <w:p w14:paraId="7C939FD2" w14:textId="77777777" w:rsidR="00642E0C" w:rsidRPr="00460667" w:rsidRDefault="00642E0C" w:rsidP="00642E0C">
            <w:pPr>
              <w:rPr>
                <w:b/>
                <w:sz w:val="28"/>
                <w:szCs w:val="28"/>
              </w:rPr>
            </w:pPr>
            <w:r w:rsidRPr="00460667">
              <w:rPr>
                <w:b/>
                <w:sz w:val="28"/>
                <w:szCs w:val="28"/>
              </w:rPr>
              <w:lastRenderedPageBreak/>
              <w:t>College Use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466731E7" w14:textId="77777777" w:rsidR="00642E0C" w:rsidRDefault="00642E0C" w:rsidP="00642E0C">
            <w:pPr>
              <w:pStyle w:val="ListParagraph"/>
              <w:numPr>
                <w:ilvl w:val="0"/>
                <w:numId w:val="8"/>
              </w:numPr>
            </w:pPr>
            <w:r>
              <w:t>To meet core requirements and electives</w:t>
            </w:r>
          </w:p>
          <w:p w14:paraId="7FF23312" w14:textId="77777777" w:rsidR="00873719" w:rsidRDefault="00642E0C" w:rsidP="00873719">
            <w:pPr>
              <w:pStyle w:val="ListParagraph"/>
              <w:numPr>
                <w:ilvl w:val="0"/>
                <w:numId w:val="8"/>
              </w:numPr>
            </w:pPr>
            <w:r>
              <w:t>Core curriculum set by the Texas High</w:t>
            </w:r>
            <w:r w:rsidR="001056B0">
              <w:t>er</w:t>
            </w:r>
            <w:r w:rsidR="00873719">
              <w:t xml:space="preserve"> E</w:t>
            </w:r>
            <w:r>
              <w:t>ducation Coordinating Board and requirements vary by institution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099E36AC" w14:textId="77777777" w:rsidR="00642E0C" w:rsidRDefault="00642E0C" w:rsidP="00642E0C">
            <w:pPr>
              <w:pStyle w:val="ListParagraph"/>
              <w:numPr>
                <w:ilvl w:val="0"/>
                <w:numId w:val="9"/>
              </w:numPr>
            </w:pPr>
            <w:r>
              <w:t>To meet core requirements and electives</w:t>
            </w:r>
          </w:p>
          <w:p w14:paraId="15A42527" w14:textId="77777777" w:rsidR="00642E0C" w:rsidRDefault="00642E0C" w:rsidP="00642E0C">
            <w:pPr>
              <w:pStyle w:val="ListParagraph"/>
              <w:numPr>
                <w:ilvl w:val="0"/>
                <w:numId w:val="9"/>
              </w:numPr>
            </w:pPr>
            <w:r>
              <w:t>Core curriculum set by the Texas High</w:t>
            </w:r>
            <w:r w:rsidR="001056B0">
              <w:t>er</w:t>
            </w:r>
            <w:r w:rsidR="00873719">
              <w:t xml:space="preserve"> E</w:t>
            </w:r>
            <w:r>
              <w:t>ducation Coordinating Board and requirements vary by institution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5531F347" w14:textId="77777777" w:rsidR="00642E0C" w:rsidRDefault="00642E0C" w:rsidP="00642E0C">
            <w:pPr>
              <w:pStyle w:val="ListParagraph"/>
              <w:numPr>
                <w:ilvl w:val="0"/>
                <w:numId w:val="10"/>
              </w:numPr>
            </w:pPr>
            <w:r>
              <w:t>To meet core requirements and electives</w:t>
            </w:r>
          </w:p>
          <w:p w14:paraId="784EC7C7" w14:textId="77777777" w:rsidR="00642E0C" w:rsidRDefault="00642E0C" w:rsidP="00642E0C">
            <w:pPr>
              <w:pStyle w:val="ListParagraph"/>
              <w:numPr>
                <w:ilvl w:val="0"/>
                <w:numId w:val="10"/>
              </w:numPr>
            </w:pPr>
            <w:r>
              <w:t>Core curriculum set by the Texas High</w:t>
            </w:r>
            <w:r w:rsidR="001056B0">
              <w:t>er</w:t>
            </w:r>
            <w:r w:rsidR="00873719">
              <w:t xml:space="preserve"> E</w:t>
            </w:r>
            <w:r>
              <w:t>ducation Coordinating Board and requirements vary by institution</w:t>
            </w:r>
          </w:p>
        </w:tc>
      </w:tr>
      <w:tr w:rsidR="00215C65" w14:paraId="1667AEFD" w14:textId="77777777" w:rsidTr="00BB5851">
        <w:tc>
          <w:tcPr>
            <w:tcW w:w="2160" w:type="dxa"/>
          </w:tcPr>
          <w:p w14:paraId="6943E97A" w14:textId="77777777" w:rsidR="00642E0C" w:rsidRPr="00460667" w:rsidRDefault="00642E0C" w:rsidP="00642E0C">
            <w:pPr>
              <w:rPr>
                <w:b/>
                <w:sz w:val="28"/>
                <w:szCs w:val="28"/>
              </w:rPr>
            </w:pPr>
            <w:r w:rsidRPr="00460667">
              <w:rPr>
                <w:b/>
                <w:sz w:val="28"/>
                <w:szCs w:val="28"/>
              </w:rPr>
              <w:t>Transferability</w:t>
            </w:r>
          </w:p>
        </w:tc>
        <w:tc>
          <w:tcPr>
            <w:tcW w:w="3000" w:type="dxa"/>
          </w:tcPr>
          <w:p w14:paraId="6D60CB47" w14:textId="77777777" w:rsidR="00642E0C" w:rsidRDefault="00F50714" w:rsidP="00B257FD">
            <w:pPr>
              <w:pStyle w:val="ListParagraph"/>
              <w:numPr>
                <w:ilvl w:val="0"/>
                <w:numId w:val="11"/>
              </w:numPr>
            </w:pPr>
            <w:r>
              <w:t>Many institutions currently accept dual credit including public/private sch</w:t>
            </w:r>
            <w:r w:rsidR="00215C65">
              <w:t>ool both in and out of Texas</w:t>
            </w:r>
          </w:p>
          <w:p w14:paraId="356365EB" w14:textId="77777777" w:rsidR="00873719" w:rsidRDefault="00B257FD" w:rsidP="00873719">
            <w:pPr>
              <w:pStyle w:val="ListParagraph"/>
              <w:numPr>
                <w:ilvl w:val="0"/>
                <w:numId w:val="11"/>
              </w:numPr>
            </w:pPr>
            <w:r>
              <w:t xml:space="preserve">See individual college/university </w:t>
            </w:r>
            <w:r w:rsidR="00215C65">
              <w:t>for their policy</w:t>
            </w:r>
          </w:p>
        </w:tc>
        <w:tc>
          <w:tcPr>
            <w:tcW w:w="3000" w:type="dxa"/>
          </w:tcPr>
          <w:p w14:paraId="4149BD6A" w14:textId="77777777" w:rsidR="00642E0C" w:rsidRDefault="00B257FD" w:rsidP="00B257FD">
            <w:pPr>
              <w:pStyle w:val="ListParagraph"/>
              <w:numPr>
                <w:ilvl w:val="0"/>
                <w:numId w:val="12"/>
              </w:numPr>
            </w:pPr>
            <w:r>
              <w:t>Accepted by most public and private institutions</w:t>
            </w:r>
          </w:p>
          <w:p w14:paraId="44F46B91" w14:textId="77777777" w:rsidR="00B257FD" w:rsidRDefault="00B257FD" w:rsidP="00B257FD">
            <w:pPr>
              <w:pStyle w:val="ListParagraph"/>
              <w:numPr>
                <w:ilvl w:val="0"/>
                <w:numId w:val="12"/>
              </w:numPr>
            </w:pPr>
            <w:r>
              <w:t xml:space="preserve">See individual college/university </w:t>
            </w:r>
            <w:r w:rsidR="00215C65">
              <w:t>for their policy</w:t>
            </w:r>
          </w:p>
        </w:tc>
        <w:tc>
          <w:tcPr>
            <w:tcW w:w="3000" w:type="dxa"/>
          </w:tcPr>
          <w:p w14:paraId="6FCF6E44" w14:textId="77777777" w:rsidR="00CF6B0F" w:rsidRDefault="00CF6B0F" w:rsidP="00B257FD">
            <w:pPr>
              <w:pStyle w:val="ListParagraph"/>
              <w:numPr>
                <w:ilvl w:val="0"/>
                <w:numId w:val="13"/>
              </w:numPr>
            </w:pPr>
            <w:r>
              <w:t>Students may choose to accept grades at the end of the course</w:t>
            </w:r>
          </w:p>
          <w:p w14:paraId="03C629AF" w14:textId="77777777" w:rsidR="00642E0C" w:rsidRDefault="00B257FD" w:rsidP="00B257FD">
            <w:pPr>
              <w:pStyle w:val="ListParagraph"/>
              <w:numPr>
                <w:ilvl w:val="0"/>
                <w:numId w:val="13"/>
              </w:numPr>
            </w:pPr>
            <w:r>
              <w:t xml:space="preserve">Courses guaranteed to transfer to any public institution </w:t>
            </w:r>
            <w:r w:rsidR="00215C65">
              <w:t>in Texas</w:t>
            </w:r>
            <w:r>
              <w:t xml:space="preserve"> </w:t>
            </w:r>
          </w:p>
          <w:p w14:paraId="6439BF2B" w14:textId="77777777" w:rsidR="00B257FD" w:rsidRDefault="00B257FD" w:rsidP="00B257FD">
            <w:pPr>
              <w:pStyle w:val="ListParagraph"/>
              <w:numPr>
                <w:ilvl w:val="0"/>
                <w:numId w:val="13"/>
              </w:numPr>
            </w:pPr>
            <w:r>
              <w:t>See individual college/</w:t>
            </w:r>
            <w:r w:rsidR="00CF6B0F">
              <w:t xml:space="preserve"> </w:t>
            </w:r>
            <w:r>
              <w:t xml:space="preserve">university </w:t>
            </w:r>
            <w:r w:rsidR="00215C65">
              <w:t>for their policy</w:t>
            </w:r>
          </w:p>
        </w:tc>
      </w:tr>
      <w:tr w:rsidR="00215C65" w14:paraId="4479D476" w14:textId="77777777" w:rsidTr="00BB5851">
        <w:tc>
          <w:tcPr>
            <w:tcW w:w="2160" w:type="dxa"/>
            <w:shd w:val="clear" w:color="auto" w:fill="BFBFBF" w:themeFill="background1" w:themeFillShade="BF"/>
          </w:tcPr>
          <w:p w14:paraId="22B0D5A3" w14:textId="77777777" w:rsidR="00873719" w:rsidRPr="00460667" w:rsidRDefault="00A77200" w:rsidP="00642E0C">
            <w:pPr>
              <w:rPr>
                <w:b/>
                <w:sz w:val="28"/>
                <w:szCs w:val="28"/>
              </w:rPr>
            </w:pPr>
            <w:r w:rsidRPr="00460667">
              <w:rPr>
                <w:b/>
                <w:sz w:val="28"/>
                <w:szCs w:val="28"/>
              </w:rPr>
              <w:t>Textbooks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75008AC1" w14:textId="77777777" w:rsidR="00873719" w:rsidRDefault="00A77200" w:rsidP="00642E0C">
            <w:r>
              <w:t>Textbooks not provided by the campus are the responsibility of the Dual Credit student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30D80553" w14:textId="77777777" w:rsidR="00642E0C" w:rsidRDefault="00A77200" w:rsidP="00642E0C">
            <w:r>
              <w:t>Textbooks are provided by the campus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6A511AB0" w14:textId="77777777" w:rsidR="00642E0C" w:rsidRDefault="00A77200" w:rsidP="00642E0C">
            <w:r>
              <w:t>Materials are provided by the campus and/or OnRamps</w:t>
            </w:r>
          </w:p>
        </w:tc>
      </w:tr>
      <w:tr w:rsidR="00215C65" w14:paraId="75500A6E" w14:textId="77777777" w:rsidTr="00BB5851">
        <w:tc>
          <w:tcPr>
            <w:tcW w:w="2160" w:type="dxa"/>
          </w:tcPr>
          <w:p w14:paraId="10D89CBE" w14:textId="77777777" w:rsidR="00642E0C" w:rsidRPr="00460667" w:rsidRDefault="00A77200" w:rsidP="00642E0C">
            <w:pPr>
              <w:rPr>
                <w:b/>
                <w:sz w:val="28"/>
                <w:szCs w:val="28"/>
              </w:rPr>
            </w:pPr>
            <w:r w:rsidRPr="00460667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000" w:type="dxa"/>
          </w:tcPr>
          <w:p w14:paraId="6101F1C0" w14:textId="77777777" w:rsidR="00642E0C" w:rsidRDefault="00A77200" w:rsidP="00642E0C">
            <w:r>
              <w:t>All Lamar CISD campuses</w:t>
            </w:r>
          </w:p>
        </w:tc>
        <w:tc>
          <w:tcPr>
            <w:tcW w:w="3000" w:type="dxa"/>
          </w:tcPr>
          <w:p w14:paraId="22A42C97" w14:textId="77777777" w:rsidR="00642E0C" w:rsidRDefault="00215C65" w:rsidP="00642E0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5B02E88" wp14:editId="62F60B52">
                      <wp:simplePos x="0" y="0"/>
                      <wp:positionH relativeFrom="column">
                        <wp:posOffset>-3204210</wp:posOffset>
                      </wp:positionH>
                      <wp:positionV relativeFrom="paragraph">
                        <wp:posOffset>125095</wp:posOffset>
                      </wp:positionV>
                      <wp:extent cx="6362700" cy="1404620"/>
                      <wp:effectExtent l="0" t="0" r="19050" b="146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7397C" w14:textId="77777777" w:rsidR="00215C65" w:rsidRPr="00215C65" w:rsidRDefault="00215C6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215C65">
                                    <w:rPr>
                                      <w:color w:val="FFFFFF" w:themeColor="background1"/>
                                    </w:rPr>
                                    <w:t>Llllllllllllllllllllllllllllllllllllllllllllllllllllllllllllllllllllllllllllllllllllllllllllllllllllllllllllllllll</w:t>
                                  </w:r>
                                </w:p>
                                <w:p w14:paraId="5DC549CC" w14:textId="77777777" w:rsidR="00215C65" w:rsidRPr="00215C65" w:rsidRDefault="00215C6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74AD0BC5" w14:textId="77777777" w:rsidR="00215C65" w:rsidRPr="00215C65" w:rsidRDefault="00215C6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2DA97DA7" w14:textId="77777777" w:rsidR="00215C65" w:rsidRPr="00215C65" w:rsidRDefault="00215C6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5A463786" w14:textId="77777777" w:rsidR="00215C65" w:rsidRPr="00215C65" w:rsidRDefault="00215C6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52CCF0F0" w14:textId="77777777" w:rsidR="00215C65" w:rsidRPr="00215C65" w:rsidRDefault="00215C6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1B43F830" w14:textId="77777777" w:rsidR="00215C65" w:rsidRPr="00215C65" w:rsidRDefault="00215C6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5B02E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52.3pt;margin-top:9.85pt;width:50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" strokecolor="white [3212]">
                      <v:textbox style="mso-fit-shape-to-text:t">
                        <w:txbxContent>
                          <w:p w14:paraId="6AD7397C" w14:textId="77777777" w:rsidR="00215C65" w:rsidRPr="00215C65" w:rsidRDefault="00215C6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15C65">
                              <w:rPr>
                                <w:color w:val="FFFFFF" w:themeColor="background1"/>
                              </w:rPr>
                              <w:t>Llllllllllllllllllllllllllllllllllllllllllllllllllllllllllllllllllllllllllllllllllllllllllllllllllllllllllllllllll</w:t>
                            </w:r>
                          </w:p>
                          <w:p w14:paraId="5DC549CC" w14:textId="77777777" w:rsidR="00215C65" w:rsidRPr="00215C65" w:rsidRDefault="00215C6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4AD0BC5" w14:textId="77777777" w:rsidR="00215C65" w:rsidRPr="00215C65" w:rsidRDefault="00215C6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DA97DA7" w14:textId="77777777" w:rsidR="00215C65" w:rsidRPr="00215C65" w:rsidRDefault="00215C6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A463786" w14:textId="77777777" w:rsidR="00215C65" w:rsidRPr="00215C65" w:rsidRDefault="00215C6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2CCF0F0" w14:textId="77777777" w:rsidR="00215C65" w:rsidRPr="00215C65" w:rsidRDefault="00215C6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B43F830" w14:textId="77777777" w:rsidR="00215C65" w:rsidRPr="00215C65" w:rsidRDefault="00215C6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200">
              <w:t>All Lamar CISD campuses</w:t>
            </w:r>
          </w:p>
        </w:tc>
        <w:tc>
          <w:tcPr>
            <w:tcW w:w="3000" w:type="dxa"/>
          </w:tcPr>
          <w:p w14:paraId="0F4F6E88" w14:textId="77777777" w:rsidR="00642E0C" w:rsidRDefault="00A77200" w:rsidP="00642E0C">
            <w:r>
              <w:t>See individual campuses for OnRamps offerings</w:t>
            </w:r>
          </w:p>
        </w:tc>
      </w:tr>
    </w:tbl>
    <w:p w14:paraId="1AAD128D" w14:textId="77777777" w:rsidR="00327413" w:rsidRDefault="00327413"/>
    <w:p w14:paraId="7CAD76F9" w14:textId="77777777" w:rsidR="00873719" w:rsidRDefault="00873719"/>
    <w:p w14:paraId="25BA20CD" w14:textId="77777777" w:rsidR="00873719" w:rsidRDefault="00873719"/>
    <w:p w14:paraId="70891324" w14:textId="77777777" w:rsidR="00873719" w:rsidRDefault="00873719"/>
    <w:sectPr w:rsidR="00873719" w:rsidSect="001056B0">
      <w:headerReference w:type="even" r:id="rId10"/>
      <w:headerReference w:type="default" r:id="rId11"/>
      <w:headerReference w:type="first" r:id="rId12"/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4FB6" w14:textId="77777777" w:rsidR="00EC4288" w:rsidRDefault="00EC4288" w:rsidP="00873719">
      <w:pPr>
        <w:spacing w:after="0" w:line="240" w:lineRule="auto"/>
      </w:pPr>
      <w:r>
        <w:separator/>
      </w:r>
    </w:p>
  </w:endnote>
  <w:endnote w:type="continuationSeparator" w:id="0">
    <w:p w14:paraId="6E63B7A9" w14:textId="77777777" w:rsidR="00EC4288" w:rsidRDefault="00EC4288" w:rsidP="008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FD0F" w14:textId="77777777" w:rsidR="00EC4288" w:rsidRDefault="00EC4288" w:rsidP="00873719">
      <w:pPr>
        <w:spacing w:after="0" w:line="240" w:lineRule="auto"/>
      </w:pPr>
      <w:r>
        <w:separator/>
      </w:r>
    </w:p>
  </w:footnote>
  <w:footnote w:type="continuationSeparator" w:id="0">
    <w:p w14:paraId="31A0FBA5" w14:textId="77777777" w:rsidR="00EC4288" w:rsidRDefault="00EC4288" w:rsidP="0087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5903" w14:textId="77777777" w:rsidR="00873719" w:rsidRDefault="00A121C6">
    <w:pPr>
      <w:pStyle w:val="Header"/>
    </w:pPr>
    <w:r>
      <w:rPr>
        <w:noProof/>
      </w:rPr>
      <w:pict w14:anchorId="46825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792719" o:spid="_x0000_s2060" type="#_x0000_t75" style="position:absolute;margin-left:0;margin-top:0;width:511pt;height:166pt;z-index:-251657216;mso-position-horizontal:center;mso-position-horizontal-relative:margin;mso-position-vertical:center;mso-position-vertical-relative:margin" o:allowincell="f">
          <v:imagedata r:id="rId1" o:title="Pict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6948" w14:textId="77777777" w:rsidR="00873719" w:rsidRDefault="00A121C6">
    <w:pPr>
      <w:pStyle w:val="Header"/>
    </w:pPr>
    <w:r>
      <w:rPr>
        <w:noProof/>
      </w:rPr>
      <w:pict w14:anchorId="11E41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792720" o:spid="_x0000_s2061" type="#_x0000_t75" style="position:absolute;margin-left:0;margin-top:0;width:511pt;height:166pt;z-index:-251656192;mso-position-horizontal:center;mso-position-horizontal-relative:margin;mso-position-vertical:center;mso-position-vertical-relative:margin" o:allowincell="f">
          <v:imagedata r:id="rId1" o:title="Pict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5C74" w14:textId="77777777" w:rsidR="00873719" w:rsidRDefault="00A121C6">
    <w:pPr>
      <w:pStyle w:val="Header"/>
    </w:pPr>
    <w:r>
      <w:rPr>
        <w:noProof/>
      </w:rPr>
      <w:pict w14:anchorId="76DBD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792718" o:spid="_x0000_s2059" type="#_x0000_t75" style="position:absolute;margin-left:0;margin-top:0;width:511pt;height:166pt;z-index:-251658240;mso-position-horizontal:center;mso-position-horizontal-relative:margin;mso-position-vertical:center;mso-position-vertical-relative:margin" o:allowincell="f">
          <v:imagedata r:id="rId1" o:title="Pict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D86"/>
    <w:multiLevelType w:val="hybridMultilevel"/>
    <w:tmpl w:val="374E1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3111"/>
    <w:multiLevelType w:val="hybridMultilevel"/>
    <w:tmpl w:val="7D161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B4D91"/>
    <w:multiLevelType w:val="hybridMultilevel"/>
    <w:tmpl w:val="7D92E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755C2"/>
    <w:multiLevelType w:val="hybridMultilevel"/>
    <w:tmpl w:val="C8864E34"/>
    <w:lvl w:ilvl="0" w:tplc="5100E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CA43A15"/>
    <w:multiLevelType w:val="hybridMultilevel"/>
    <w:tmpl w:val="F06E65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01E6F"/>
    <w:multiLevelType w:val="hybridMultilevel"/>
    <w:tmpl w:val="440C02E6"/>
    <w:lvl w:ilvl="0" w:tplc="8AFA0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95179"/>
    <w:multiLevelType w:val="hybridMultilevel"/>
    <w:tmpl w:val="2A9C0FF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17F6888"/>
    <w:multiLevelType w:val="hybridMultilevel"/>
    <w:tmpl w:val="91948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4060C"/>
    <w:multiLevelType w:val="hybridMultilevel"/>
    <w:tmpl w:val="11566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D64F9"/>
    <w:multiLevelType w:val="hybridMultilevel"/>
    <w:tmpl w:val="383A7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810E5A"/>
    <w:multiLevelType w:val="hybridMultilevel"/>
    <w:tmpl w:val="7FA0B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36737BE"/>
    <w:multiLevelType w:val="hybridMultilevel"/>
    <w:tmpl w:val="68588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ED4653A"/>
    <w:multiLevelType w:val="hybridMultilevel"/>
    <w:tmpl w:val="981AB5D4"/>
    <w:lvl w:ilvl="0" w:tplc="21900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13"/>
    <w:rsid w:val="00055546"/>
    <w:rsid w:val="00075F07"/>
    <w:rsid w:val="000C218B"/>
    <w:rsid w:val="000C5783"/>
    <w:rsid w:val="001056B0"/>
    <w:rsid w:val="0011058D"/>
    <w:rsid w:val="00215C65"/>
    <w:rsid w:val="00244E62"/>
    <w:rsid w:val="002468DB"/>
    <w:rsid w:val="00256E52"/>
    <w:rsid w:val="00284C62"/>
    <w:rsid w:val="00327413"/>
    <w:rsid w:val="00337A6E"/>
    <w:rsid w:val="00460667"/>
    <w:rsid w:val="004D17ED"/>
    <w:rsid w:val="004E4528"/>
    <w:rsid w:val="005C4257"/>
    <w:rsid w:val="005F6897"/>
    <w:rsid w:val="00642E0C"/>
    <w:rsid w:val="00697772"/>
    <w:rsid w:val="006D19A3"/>
    <w:rsid w:val="007C131A"/>
    <w:rsid w:val="00873719"/>
    <w:rsid w:val="008A648E"/>
    <w:rsid w:val="008E338E"/>
    <w:rsid w:val="00911495"/>
    <w:rsid w:val="00A121C6"/>
    <w:rsid w:val="00A77200"/>
    <w:rsid w:val="00AE70A9"/>
    <w:rsid w:val="00B257FD"/>
    <w:rsid w:val="00B67D84"/>
    <w:rsid w:val="00BB2F90"/>
    <w:rsid w:val="00BB5851"/>
    <w:rsid w:val="00C30188"/>
    <w:rsid w:val="00CF6B0F"/>
    <w:rsid w:val="00DC51C4"/>
    <w:rsid w:val="00DD1BCD"/>
    <w:rsid w:val="00E564FA"/>
    <w:rsid w:val="00EC4288"/>
    <w:rsid w:val="00F46CA7"/>
    <w:rsid w:val="00F50714"/>
    <w:rsid w:val="00FC3A01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D7FB0DE"/>
  <w15:chartTrackingRefBased/>
  <w15:docId w15:val="{485C653F-5B27-48FD-BF91-033C2FCB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19"/>
  </w:style>
  <w:style w:type="paragraph" w:styleId="Footer">
    <w:name w:val="footer"/>
    <w:basedOn w:val="Normal"/>
    <w:link w:val="FooterChar"/>
    <w:uiPriority w:val="99"/>
    <w:unhideWhenUsed/>
    <w:rsid w:val="0087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592698339FF4A9DDE6C643A22549B" ma:contentTypeVersion="13" ma:contentTypeDescription="Create a new document." ma:contentTypeScope="" ma:versionID="3e7ba2654aaea72e1c53b601dd1ae863">
  <xsd:schema xmlns:xsd="http://www.w3.org/2001/XMLSchema" xmlns:xs="http://www.w3.org/2001/XMLSchema" xmlns:p="http://schemas.microsoft.com/office/2006/metadata/properties" xmlns:ns3="c26a045f-402c-4cad-a222-73582b0271d2" xmlns:ns4="94388a36-b4dc-4f98-a515-97622c5cae62" targetNamespace="http://schemas.microsoft.com/office/2006/metadata/properties" ma:root="true" ma:fieldsID="d7cb5d3cbd843699382ca02f57d89472" ns3:_="" ns4:_="">
    <xsd:import namespace="c26a045f-402c-4cad-a222-73582b0271d2"/>
    <xsd:import namespace="94388a36-b4dc-4f98-a515-97622c5ca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045f-402c-4cad-a222-73582b027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88a36-b4dc-4f98-a515-97622c5c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11EEB-7272-4BED-ACDE-297074A34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1F3C7-6F26-42F9-B338-EA97F81BE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a045f-402c-4cad-a222-73582b0271d2"/>
    <ds:schemaRef ds:uri="94388a36-b4dc-4f98-a515-97622c5ca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A3485-0BC6-4A38-ABE9-0156C31F43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Anderson</dc:creator>
  <cp:keywords/>
  <dc:description/>
  <cp:lastModifiedBy>Terry Hydo</cp:lastModifiedBy>
  <cp:revision>2</cp:revision>
  <cp:lastPrinted>2019-12-19T15:23:00Z</cp:lastPrinted>
  <dcterms:created xsi:type="dcterms:W3CDTF">2022-01-12T20:15:00Z</dcterms:created>
  <dcterms:modified xsi:type="dcterms:W3CDTF">2022-01-12T20:15:00Z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0x01010084A592698339FF4A9DDE6C643A22549B</vt:lpwstr>
  </property>
</Properties>
</file>